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2014 г. N 54-пр/э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УПРАВЛЕНИЯ ГОСУДАРСТВЕННОГО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ЦЕН И ТАРИФОВ 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289-ПР/Э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в соответствие законодательству нормативных правовых актов управления государственного регулирования цен и тарифов Амурской области, на основании решения Правления управления от 14 апреля 2014 г. N 44-14/э приказываю: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Амурской области от 25 декабря 2013 г. N 289-пр/э "Об установлении тарифов на электрическую энергию (мощность), поставляемую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2014 год" следующие изменения: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приказа слова "приложениям NN 1 - 9" заменить словами "приложениям NN 1 - 12";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приложения N 1 приказа изложить в следующей редакции: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"Тарифы на электрическую энергию (мощность), поставляемую по договорам энергоснабжения покупателям гарантирующими поставщиками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ООО "</w:t>
      </w:r>
      <w:proofErr w:type="spellStart"/>
      <w:r>
        <w:rPr>
          <w:rFonts w:ascii="Calibri" w:hAnsi="Calibri" w:cs="Calibri"/>
        </w:rPr>
        <w:t>Энергокомфорт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Единая Амурская сбытовая компания", ООО "Районные электрические сети",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 (без учета НДС)";</w:t>
      </w:r>
      <w:proofErr w:type="gramEnd"/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приложения N 2 приказа изложить в следующей редакции: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"Тарифы на электрическую энергию (мощность), поставляемую покупателям гарантирующими поставщиками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ООО "</w:t>
      </w:r>
      <w:proofErr w:type="spellStart"/>
      <w:r>
        <w:rPr>
          <w:rFonts w:ascii="Calibri" w:hAnsi="Calibri" w:cs="Calibri"/>
        </w:rPr>
        <w:t>Энергокомфорт</w:t>
      </w:r>
      <w:proofErr w:type="spellEnd"/>
      <w:r>
        <w:rPr>
          <w:rFonts w:ascii="Calibri" w:hAnsi="Calibri" w:cs="Calibri"/>
        </w:rPr>
        <w:t>. Единая Амурская сбытовая компания", ООО "Районные электрические сети",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купли-продажи (без учета НДС)";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9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приложения N 3 приказа изложить в следующей редакции: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"Тарифы на электрическую энергию (мощность), поставляемую покупателям гарантирующими поставщиками ОАО "Дальневосточная энергетическая компания" (филиал "</w:t>
      </w:r>
      <w:proofErr w:type="spellStart"/>
      <w:r>
        <w:rPr>
          <w:rFonts w:ascii="Calibri" w:hAnsi="Calibri" w:cs="Calibri"/>
        </w:rPr>
        <w:t>Амурэнергосбыт</w:t>
      </w:r>
      <w:proofErr w:type="spellEnd"/>
      <w:r>
        <w:rPr>
          <w:rFonts w:ascii="Calibri" w:hAnsi="Calibri" w:cs="Calibri"/>
        </w:rPr>
        <w:t>"), ООО "</w:t>
      </w:r>
      <w:proofErr w:type="spellStart"/>
      <w:r>
        <w:rPr>
          <w:rFonts w:ascii="Calibri" w:hAnsi="Calibri" w:cs="Calibri"/>
        </w:rPr>
        <w:t>Энергокомфорт</w:t>
      </w:r>
      <w:proofErr w:type="spellEnd"/>
      <w:r>
        <w:rPr>
          <w:rFonts w:ascii="Calibri" w:hAnsi="Calibri" w:cs="Calibri"/>
        </w:rPr>
        <w:t>. Единая Амурская сбытовая компания", ООО "Районные электрические сети",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", за исключением электрической энергии (мощности), поставляемой населению и приравненным к нему категориям потребителей, по договорам энергоснабжения (без учета НДС)";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приказ приложениями NN 10 - 12 согласно </w:t>
      </w:r>
      <w:hyperlink w:anchor="Par48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12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2014 г. N 54-пр/э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E495A" w:rsidSect="008C2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8"/>
      <w:bookmarkEnd w:id="2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"РУСЭНЕРГОРЕСУРС", ЗА ИСКЛЮЧЕНИЕМ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ЭЛЕКТРОСЕТЕВОГО 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928"/>
        <w:gridCol w:w="1928"/>
      </w:tblGrid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70"/>
            <w:bookmarkEnd w:id="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71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1,57654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116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53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241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0,77016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</w:rPr>
              <w:lastRenderedPageBreak/>
              <w:t>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1,57654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2,77954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2,80531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375"/>
            <w:bookmarkEnd w:id="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0,77016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</w:t>
            </w:r>
            <w:r>
              <w:rPr>
                <w:rFonts w:ascii="Calibri" w:hAnsi="Calibri" w:cs="Calibri"/>
              </w:rPr>
              <w:lastRenderedPageBreak/>
              <w:t xml:space="preserve">электросетевого хозяйства, входящих в единую национальную (общероссийскую) электрическую сеть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1,96065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1,97973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53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0,09868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68"/>
      <w:bookmarkEnd w:id="8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69"/>
      <w:bookmarkEnd w:id="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70"/>
      <w:bookmarkEnd w:id="1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определение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71"/>
      <w:bookmarkEnd w:id="1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E49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701"/>
        <w:gridCol w:w="1701"/>
      </w:tblGrid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490"/>
            <w:bookmarkEnd w:id="1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суток: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суток: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ставке стоимости единицы электрической энергии в </w:t>
      </w:r>
      <w:hyperlink w:anchor="Par49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должны дополнительно учитываться расходы на реализацию (сбыт) в размерах: 1 полугодие - 0,04054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2 полугодие - 0,04983 руб./кВт ч.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33"/>
      <w:bookmarkEnd w:id="1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2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34"/>
      <w:bookmarkEnd w:id="1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541"/>
      <w:bookmarkEnd w:id="15"/>
      <w:r>
        <w:rPr>
          <w:rFonts w:ascii="Calibri" w:hAnsi="Calibri" w:cs="Calibri"/>
        </w:rPr>
        <w:t>Приложение N 2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2014 г. N 54-пр/э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ЭНЕРГОСБЫТОВЫМИ ОРГАНИЗАЦИЯМИ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"ДАЛЬНЕВОСТОЧНАЯ ЭНЕРГЕТИЧЕСКАЯ КОМПАНИЯ"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ООО "РУСЭНЕРГОСБЫТ",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ООО "РУСЭНЕРГОРЕСУРС", ЗА ИСКЛЮЧЕНИЕМ </w:t>
      </w:r>
      <w:proofErr w:type="gramStart"/>
      <w:r>
        <w:rPr>
          <w:rFonts w:ascii="Calibri" w:hAnsi="Calibri" w:cs="Calibri"/>
          <w:b/>
          <w:bCs/>
        </w:rPr>
        <w:t>ЭЛЕКТРИЧЕСКОЙ</w:t>
      </w:r>
      <w:proofErr w:type="gramEnd"/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 (БЕЗ УЧЕТА НДС)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701"/>
        <w:gridCol w:w="1701"/>
      </w:tblGrid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" w:name="Par578"/>
            <w:bookmarkEnd w:id="16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579"/>
            <w:bookmarkEnd w:id="1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633"/>
            <w:bookmarkEnd w:id="1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3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2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3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2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3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2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3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12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</w:t>
            </w:r>
            <w:r>
              <w:rPr>
                <w:rFonts w:ascii="Calibri" w:hAnsi="Calibri" w:cs="Calibri"/>
              </w:rPr>
              <w:lastRenderedPageBreak/>
              <w:t>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748"/>
            <w:bookmarkEnd w:id="1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2,97902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2,97361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2,90886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2,80784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921"/>
            <w:bookmarkEnd w:id="2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</w:t>
            </w:r>
            <w:r>
              <w:rPr>
                <w:rFonts w:ascii="Calibri" w:hAnsi="Calibri" w:cs="Calibri"/>
              </w:rPr>
              <w:lastRenderedPageBreak/>
              <w:t xml:space="preserve">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2,10307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2,09925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2,05355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1,98226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E49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34"/>
      <w:bookmarkEnd w:id="21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035"/>
      <w:bookmarkEnd w:id="22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036"/>
      <w:bookmarkEnd w:id="2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</w:t>
      </w:r>
      <w:proofErr w:type="gramStart"/>
      <w:r>
        <w:rPr>
          <w:rFonts w:ascii="Calibri" w:hAnsi="Calibri" w:cs="Calibri"/>
        </w:rPr>
        <w:t>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23505), от 19 июля 2012 г. N 485-э (зарегистрировано Минюстом России 27 августа 2012 года, регистрационный N 25275).</w:t>
      </w:r>
      <w:proofErr w:type="gramEnd"/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037"/>
      <w:bookmarkEnd w:id="2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928"/>
        <w:gridCol w:w="1928"/>
      </w:tblGrid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</w:t>
            </w:r>
            <w:r>
              <w:rPr>
                <w:rFonts w:ascii="Calibri" w:hAnsi="Calibri" w:cs="Calibri"/>
              </w:rPr>
              <w:lastRenderedPageBreak/>
              <w:t xml:space="preserve">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дифференцированная</w:t>
            </w:r>
            <w:proofErr w:type="gramEnd"/>
            <w:r>
              <w:rPr>
                <w:rFonts w:ascii="Calibri" w:hAnsi="Calibri" w:cs="Calibri"/>
              </w:rPr>
              <w:t xml:space="preserve">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E49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36"/>
      <w:bookmarkEnd w:id="25"/>
      <w:proofErr w:type="gramStart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5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"Собрание законодательства Российской Федерации", 2012, N 23, ст. 3008; 2013, N 1, ст. 45, ст. 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5, ст. 407).</w:t>
      </w:r>
      <w:proofErr w:type="gramEnd"/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237"/>
      <w:bookmarkEnd w:id="26"/>
      <w:proofErr w:type="gramStart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"Собрание законодательства Российской Федерации", 2004, N 52 (часть II), ст. 5525; 2007, N 14,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4100; 2009, N 9, ст. 1103; N 8, ст. 979; N 17, ст. 2008; N 25, ст. 3073; N 41, ст. 4771; 2010, N 12, ст. 1333; N 21, ст. 2607; N 25, ст. 3175; N 40, ст. 5086; 2011, N 10, ст. 1406; 2012, N 4, ст. 504;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3008; N 41, ст. 5636; N 49, ст. 6858; N 52, ст. 7525).</w:t>
      </w:r>
      <w:proofErr w:type="gramEnd"/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244"/>
      <w:bookmarkEnd w:id="27"/>
      <w:r>
        <w:rPr>
          <w:rFonts w:ascii="Calibri" w:hAnsi="Calibri" w:cs="Calibri"/>
        </w:rPr>
        <w:t>Приложение N 3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2014 г. N 54-пр/э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E49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1260"/>
      <w:bookmarkEnd w:id="28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ЭНЕРГОСБЫТОВЫМИ ОРГАНИЗАЦИЯМИ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"ДАЛЬНЕВОСТОЧНАЯ ЭНЕРГЕТИЧЕСКАЯ КОМПАНИЯ"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ООО "РУСЭНЕРГОСБЫТ",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ООО "РУСЭНЕРГОРЕСУРС", ЗА ИСКЛЮЧЕНИЕМ </w:t>
      </w:r>
      <w:proofErr w:type="gramStart"/>
      <w:r>
        <w:rPr>
          <w:rFonts w:ascii="Calibri" w:hAnsi="Calibri" w:cs="Calibri"/>
          <w:b/>
          <w:bCs/>
        </w:rPr>
        <w:t>ЭЛЕКТРИЧЕСКОЙ</w:t>
      </w:r>
      <w:proofErr w:type="gramEnd"/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1644"/>
        <w:gridCol w:w="1531"/>
        <w:gridCol w:w="1644"/>
        <w:gridCol w:w="1134"/>
        <w:gridCol w:w="1531"/>
        <w:gridCol w:w="1587"/>
        <w:gridCol w:w="1928"/>
        <w:gridCol w:w="1333"/>
      </w:tblGrid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9" w:name="Par1296"/>
            <w:bookmarkEnd w:id="29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1297"/>
            <w:bookmarkEnd w:id="30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130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1428"/>
            <w:bookmarkEnd w:id="3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2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1,17778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1,68164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1,04317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1,16255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79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средневзвешенной стоимости единицы электрической расчетной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средневзвешенной стоимости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279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721"/>
            <w:bookmarkEnd w:id="3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3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Услуги по передаче единицы </w:t>
            </w:r>
            <w:r>
              <w:rPr>
                <w:rFonts w:ascii="Calibri" w:hAnsi="Calibri" w:cs="Calibri"/>
              </w:rPr>
              <w:lastRenderedPageBreak/>
              <w:t>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4,84072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4,21060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4,39039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6,11271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4,46158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5,85669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6,18390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4,23272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4,41251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6,13483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5,85128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6,17849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4,33478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6,05710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4,39142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5,78653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6,11374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4,26455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5,98687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4,11061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4,29040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5,68551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6,01272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Услуги по передаче единицы </w:t>
            </w:r>
            <w:r>
              <w:rPr>
                <w:rFonts w:ascii="Calibri" w:hAnsi="Calibri" w:cs="Calibri"/>
              </w:rPr>
              <w:lastRenderedPageBreak/>
              <w:t>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130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2117"/>
            <w:bookmarkEnd w:id="3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3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3,35464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3,58563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4,98074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5,30795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4,97692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5,30413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3,49519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3,53611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5,25843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3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3,26587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3,44566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5,16798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5,18714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3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</w:t>
            </w:r>
          </w:p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3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385"/>
      <w:bookmarkEnd w:id="34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386"/>
      <w:bookmarkEnd w:id="35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387"/>
      <w:bookmarkEnd w:id="3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388"/>
      <w:bookmarkEnd w:id="3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энергии: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644"/>
        <w:gridCol w:w="1644"/>
        <w:gridCol w:w="1531"/>
        <w:gridCol w:w="1276"/>
        <w:gridCol w:w="1333"/>
        <w:gridCol w:w="1135"/>
        <w:gridCol w:w="1305"/>
        <w:gridCol w:w="1134"/>
        <w:gridCol w:w="1188"/>
      </w:tblGrid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8" w:name="_GoBack" w:colFirst="3" w:colLast="3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bookmarkEnd w:id="38"/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</w:t>
            </w:r>
            <w:r>
              <w:rPr>
                <w:rFonts w:ascii="Calibri" w:hAnsi="Calibri" w:cs="Calibri"/>
              </w:rPr>
              <w:lastRenderedPageBreak/>
              <w:t xml:space="preserve">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3E495A" w:rsidTr="003E49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A" w:rsidRDefault="003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793"/>
      <w:bookmarkEnd w:id="39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8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794"/>
      <w:bookmarkEnd w:id="40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95A" w:rsidRDefault="003E49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95A" w:rsidRDefault="003E49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952" w:rsidRDefault="00575952"/>
    <w:sectPr w:rsidR="0057595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5A"/>
    <w:rsid w:val="003E495A"/>
    <w:rsid w:val="005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82F389C31E698DEA951229A527C250AB825A1A16A956F7A8821DC647E01B65D93FY4X5N" TargetMode="External"/><Relationship Id="rId13" Type="http://schemas.openxmlformats.org/officeDocument/2006/relationships/hyperlink" Target="consultantplus://offline/ref=76F16552C81F5F7C72109CFE9FAF406C8CE4C21A2EAB2F940AF4D9074D1FA301B0E7DB5F824AE21CY6XCN" TargetMode="External"/><Relationship Id="rId18" Type="http://schemas.openxmlformats.org/officeDocument/2006/relationships/hyperlink" Target="consultantplus://offline/ref=76F16552C81F5F7C72109CFE9FAF406C8CE4C3162BAB2F940AF4D9074D1FA301B0E7DB5F824AE11DY6X4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6F16552C81F5F7C721082F389C31E698DEA951229A527C250AB825A1A16A956F7A8821DC647E01B65DD3EY4X8N" TargetMode="External"/><Relationship Id="rId12" Type="http://schemas.openxmlformats.org/officeDocument/2006/relationships/hyperlink" Target="consultantplus://offline/ref=76F16552C81F5F7C72109CFE9FAF406C8CE4C3162BAB2F940AF4D9074D1FA301B0E7DB5F824AE11DY6X4N" TargetMode="External"/><Relationship Id="rId17" Type="http://schemas.openxmlformats.org/officeDocument/2006/relationships/hyperlink" Target="consultantplus://offline/ref=76F16552C81F5F7C72109CFE9FAF406C8CE2CF182DAD2F940AF4D9074DY1X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F16552C81F5F7C72109CFE9FAF406C8CE4C21A2EAB2F940AF4D9074D1FA301B0E7DB5F824AE21CY6X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16552C81F5F7C721082F389C31E698DEA951229A527C250AB825A1A16A956F7A8821DC647E01B65DD3EY4X4N" TargetMode="External"/><Relationship Id="rId11" Type="http://schemas.openxmlformats.org/officeDocument/2006/relationships/hyperlink" Target="consultantplus://offline/ref=76F16552C81F5F7C72109CFE9FAF406C8CE2CF182DAD2F940AF4D9074DY1XFN" TargetMode="External"/><Relationship Id="rId5" Type="http://schemas.openxmlformats.org/officeDocument/2006/relationships/hyperlink" Target="consultantplus://offline/ref=76F16552C81F5F7C721082F389C31E698DEA951229A527C250AB825A1A16A956YFX7N" TargetMode="External"/><Relationship Id="rId15" Type="http://schemas.openxmlformats.org/officeDocument/2006/relationships/hyperlink" Target="consultantplus://offline/ref=76F16552C81F5F7C72109CFE9FAF406C8CE4C3162BAB2F940AF4D9074D1FA301B0E7DB5F824AE11DY6X4N" TargetMode="External"/><Relationship Id="rId10" Type="http://schemas.openxmlformats.org/officeDocument/2006/relationships/hyperlink" Target="consultantplus://offline/ref=76F16552C81F5F7C721082F389C31E698DEA951229A527C250AB825A1A16A956YFX7N" TargetMode="External"/><Relationship Id="rId19" Type="http://schemas.openxmlformats.org/officeDocument/2006/relationships/hyperlink" Target="consultantplus://offline/ref=76F16552C81F5F7C72109CFE9FAF406C8CE4C21A2EAB2F940AF4D9074D1FA301B0E7DB5F824AE21CY6X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E698DEA951229A527C250AB825A1A16A956F7A8821DC647E01B65D538Y4X8N" TargetMode="External"/><Relationship Id="rId14" Type="http://schemas.openxmlformats.org/officeDocument/2006/relationships/hyperlink" Target="consultantplus://offline/ref=76F16552C81F5F7C72109CFE9FAF406C8CE2CF182DAD2F940AF4D9074DY1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9414</Words>
  <Characters>53663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Anastasia A. Yakusheva</cp:lastModifiedBy>
  <cp:revision>1</cp:revision>
  <dcterms:created xsi:type="dcterms:W3CDTF">2014-05-15T13:23:00Z</dcterms:created>
  <dcterms:modified xsi:type="dcterms:W3CDTF">2014-05-15T13:27:00Z</dcterms:modified>
</cp:coreProperties>
</file>