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ПРАВИТЕЛЬСТВА ХАБАРОВСКОГО КРАЯ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44/47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(МОЩНОСТЬ), ПОСТАВЛЯЕМУЮ ЭНЕРГОСНАБЖАЮЩЕЙ ОРГАНИЗАЦИЕЙ -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С ОГРАНИЧЕННОЙ ОТВЕТСТВЕННОСТЬЮ "РУСЭНЕРГОРЕСУРС"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ПОКУПАТЕЛЯМ НА РОЗНИЧНОМ РЫНКЕ НА ТЕРРИТОРИИ </w:t>
      </w:r>
      <w:proofErr w:type="gramStart"/>
      <w:r>
        <w:rPr>
          <w:rFonts w:ascii="Calibri" w:hAnsi="Calibri" w:cs="Calibri"/>
          <w:b/>
          <w:bCs/>
        </w:rPr>
        <w:t>ХАБАРОВСКОГО</w:t>
      </w:r>
      <w:proofErr w:type="gramEnd"/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КРАЯ (ОБЪЕКТ ОАО "ПИВОВАРЕННАЯ КОМПАНИЯ "БАЛТИКА"),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ИСКЛЮЧЕНИЕМ ЭЛЕКТРИЧЕСКОЙ ЭНЕРГИИ (МОЩНОСТИ), ПОСТАВЛЯЕМОЙ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И ПРИРАВНЕННЫМ К НЕМУ КАТЕГОРИЯМ ПОТРЕБИТЕЛЕЙ,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29.12.2011 N 1178 "О ценообразовании в области регулируемых цен (тарифов) в электроэнергетике", приказами ФСТ России от 06.08.2004 </w:t>
      </w:r>
      <w:hyperlink r:id="rId7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28.03.2013 </w:t>
      </w:r>
      <w:hyperlink r:id="rId8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Хабаровского края от 04.06.2010 N 142-пр "Об утверждении Положения о комитете по ценам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тарифам Правительства Хабаровского края" и на основании экспертного заключения о проведенной экспертизе экономической обоснованности тарифов на электрическую энергию (мощность), поставляемую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- обществом с ограниченной ответственностью "РУСЭНЕРГОРЕСУРС" покупателям на розничном рынке на территории Хабаровского края (объект ОАО "Пивоваренная компания "Балтика"), за исключением электрической энергии (мощности), поставляемой населению и приравненным к нему категориям потребителей, по договорам энергоснабжения на 2015 год (дело</w:t>
      </w:r>
      <w:proofErr w:type="gramEnd"/>
      <w:r>
        <w:rPr>
          <w:rFonts w:ascii="Calibri" w:hAnsi="Calibri" w:cs="Calibri"/>
        </w:rPr>
        <w:t xml:space="preserve"> от 12.05.2014 N 51/ТЭК) комитет по ценам и тарифам Правительства Хабаровского края постановляет: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</w:t>
      </w:r>
      <w:hyperlink w:anchor="Par33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- обществом с ограниченной ответственностью "РУСЭНЕРГОРЕСУРС" покупателям на розничном рынке на территории Хабаровского края (объект ОАО "Пивоваренная компания "Балтика"), за исключением электрической энергии (мощности), поставляемой населению и приравненным к нему категориям потребителей, по договорам энергоснабжения на 2015 год с календарной разбивкой согласно приложению к настоящему постановлению.</w:t>
      </w:r>
      <w:proofErr w:type="gramEnd"/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3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01.01.2015 по 31.12.2015.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руководству предприятия довести информацию о </w:t>
      </w:r>
      <w:hyperlink w:anchor="Par33" w:history="1">
        <w:r>
          <w:rPr>
            <w:rFonts w:ascii="Calibri" w:hAnsi="Calibri" w:cs="Calibri"/>
            <w:color w:val="0000FF"/>
          </w:rPr>
          <w:t>ценах (тарифах)</w:t>
        </w:r>
      </w:hyperlink>
      <w:r>
        <w:rPr>
          <w:rFonts w:ascii="Calibri" w:hAnsi="Calibri" w:cs="Calibri"/>
        </w:rPr>
        <w:t xml:space="preserve"> на электрическую энергию до сведения потребителей.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А.В.Воронин</w:t>
      </w:r>
      <w:proofErr w:type="spellEnd"/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44/47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A4769" w:rsidSect="00942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lastRenderedPageBreak/>
        <w:t>ЦЕНЫ (ТАРИФЫ)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ЭНЕРГОСНАБЖАЮЩЕЙ ОРГАНИЗАЦИЕЙ - ОБЩЕСТВОМ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ОГРАНИЧЕННОЙ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ОТВЕТСТВЕННОСТЬЮ "РУСЭНЕРГОРЕСУРС" ПОКУПАТЕЛЯМ НА </w:t>
      </w:r>
      <w:proofErr w:type="gramStart"/>
      <w:r>
        <w:rPr>
          <w:rFonts w:ascii="Calibri" w:hAnsi="Calibri" w:cs="Calibri"/>
          <w:b/>
          <w:bCs/>
        </w:rPr>
        <w:t>РОЗНИЧНОМ</w:t>
      </w:r>
      <w:proofErr w:type="gramEnd"/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РЫНКЕ НА ТЕРРИТОРИИ ХАБАРОВСКОГО КРАЯ (ОБЪЕКТ</w:t>
      </w:r>
      <w:proofErr w:type="gramEnd"/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ОАО "ПИВОВАРЕННАЯ КОМПАНИЯ "БАЛТИКА"), ЗА ИСКЛЮЧЕНИЕМ</w:t>
      </w:r>
      <w:proofErr w:type="gramEnd"/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НА 2015 ГОД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7276"/>
        <w:gridCol w:w="1904"/>
        <w:gridCol w:w="463"/>
        <w:gridCol w:w="1301"/>
        <w:gridCol w:w="606"/>
        <w:gridCol w:w="485"/>
        <w:gridCol w:w="463"/>
        <w:gridCol w:w="1301"/>
        <w:gridCol w:w="606"/>
        <w:gridCol w:w="485"/>
      </w:tblGrid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1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203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468,41453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494,64574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642,29671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801,58629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468,41453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494,64574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468,41453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494,64574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1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642,29671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801,58629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491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16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</w:t>
            </w:r>
          </w:p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</w:t>
            </w:r>
          </w:p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</w:t>
            </w:r>
          </w:p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</w:t>
            </w:r>
          </w:p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892"/>
            <w:bookmarkEnd w:id="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16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</w:t>
            </w:r>
          </w:p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</w:t>
            </w:r>
          </w:p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</w:t>
            </w:r>
          </w:p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A4769" w:rsidTr="00DD3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69" w:rsidRDefault="00B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Цены (тарифы) установлены без налога на добавленную стоимость.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65"/>
      <w:bookmarkEnd w:id="8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66"/>
      <w:bookmarkEnd w:id="9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67"/>
      <w:bookmarkEnd w:id="1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68"/>
      <w:bookmarkEnd w:id="11"/>
      <w:r>
        <w:rPr>
          <w:rFonts w:ascii="Calibri" w:hAnsi="Calibri" w:cs="Calibri"/>
        </w:rPr>
        <w:t xml:space="preserve">&lt;4&gt; Учтены расходы на реализацию (сбыт) электрической энергии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- ООО "РУСЭНЕРГОРЕСУРС" в 1 и 2 полугодии 2015 года в размере 0,08183 руб./кВт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69"/>
      <w:bookmarkEnd w:id="12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1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</w:t>
      </w:r>
      <w:r>
        <w:rPr>
          <w:rFonts w:ascii="Calibri" w:hAnsi="Calibri" w:cs="Calibri"/>
        </w:rPr>
        <w:lastRenderedPageBreak/>
        <w:t>Правительства Российской Федерации от 04.05.2012 N 442.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70"/>
      <w:bookmarkEnd w:id="13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769" w:rsidRDefault="00BA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769" w:rsidRDefault="00BA47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575B0" w:rsidRDefault="002814F9">
      <w:bookmarkStart w:id="14" w:name="_GoBack"/>
      <w:bookmarkEnd w:id="14"/>
    </w:p>
    <w:sectPr w:rsidR="005575B0" w:rsidSect="002814F9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69"/>
    <w:rsid w:val="00145CCE"/>
    <w:rsid w:val="002814F9"/>
    <w:rsid w:val="00323487"/>
    <w:rsid w:val="00BA4769"/>
    <w:rsid w:val="00D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A4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A4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A4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A4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5ADA7CB705E6B5EEF132217F2133E91CF9952E11BA689F0DF2637E9qB4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5ADA7CB705E6B5EEF132217F2133E91CE9F50EA1CA689F0DF2637E9qB4EN" TargetMode="External"/><Relationship Id="rId12" Type="http://schemas.openxmlformats.org/officeDocument/2006/relationships/hyperlink" Target="consultantplus://offline/ref=EB45ADA7CB705E6B5EEF132217F2133E91CE9B5CED1CA689F0DF2637E9BE483D6EC9B57C877D10D8q04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5ADA7CB705E6B5EEF132217F2133E91CF9853E81FA689F0DF2637E9qB4EN" TargetMode="External"/><Relationship Id="rId11" Type="http://schemas.openxmlformats.org/officeDocument/2006/relationships/hyperlink" Target="consultantplus://offline/ref=EB45ADA7CB705E6B5EEF132217F2133E91CF9952ED1CA689F0DF2637E9BE483D6EC9B57C877D13D9q049N" TargetMode="External"/><Relationship Id="rId5" Type="http://schemas.openxmlformats.org/officeDocument/2006/relationships/hyperlink" Target="consultantplus://offline/ref=EB45ADA7CB705E6B5EEF132217F2133E91CF9F5DE818A689F0DF2637E9qB4EN" TargetMode="External"/><Relationship Id="rId10" Type="http://schemas.openxmlformats.org/officeDocument/2006/relationships/hyperlink" Target="consultantplus://offline/ref=EB45ADA7CB705E6B5EEF132217F2133E91CB9953EA1FA689F0DF2637E9qB4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5ADA7CB705E6B5EEF0D2F019E4D3291C3C359E11CADDDAF807D6ABEB7426Aq24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Александровна</dc:creator>
  <cp:lastModifiedBy>Якушева Анастасия Александровна</cp:lastModifiedBy>
  <cp:revision>3</cp:revision>
  <dcterms:created xsi:type="dcterms:W3CDTF">2015-03-10T13:56:00Z</dcterms:created>
  <dcterms:modified xsi:type="dcterms:W3CDTF">2015-03-10T14:02:00Z</dcterms:modified>
</cp:coreProperties>
</file>